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A16" w:rsidRPr="00924C57" w:rsidRDefault="00F86A16" w:rsidP="00F86A16">
      <w:pPr>
        <w:jc w:val="center"/>
        <w:rPr>
          <w:rFonts w:ascii="Arial" w:hAnsi="Arial" w:cs="Arial"/>
          <w:color w:val="000000"/>
          <w:sz w:val="30"/>
        </w:rPr>
      </w:pPr>
      <w:r w:rsidRPr="00924C57">
        <w:rPr>
          <w:rFonts w:ascii="Arial" w:hAnsi="Arial" w:cs="Arial"/>
          <w:color w:val="000000"/>
          <w:sz w:val="30"/>
        </w:rPr>
        <w:t>A TÁRSASÁG</w:t>
      </w:r>
    </w:p>
    <w:p w:rsidR="00F86A16" w:rsidRPr="00924C57" w:rsidRDefault="00F86A16" w:rsidP="00F86A16">
      <w:pPr>
        <w:jc w:val="center"/>
        <w:rPr>
          <w:rFonts w:ascii="Arial" w:hAnsi="Arial" w:cs="Arial"/>
          <w:color w:val="000000"/>
          <w:sz w:val="30"/>
        </w:rPr>
      </w:pPr>
      <w:r w:rsidRPr="00924C57">
        <w:rPr>
          <w:rFonts w:ascii="Arial" w:hAnsi="Arial" w:cs="Arial"/>
          <w:color w:val="000000"/>
          <w:sz w:val="30"/>
        </w:rPr>
        <w:t>Integrált Irányítási Rendszerének Politikája</w:t>
      </w:r>
    </w:p>
    <w:p w:rsidR="00F86A16" w:rsidRPr="00924C57" w:rsidRDefault="00F86A16" w:rsidP="00F86A16">
      <w:pPr>
        <w:jc w:val="center"/>
        <w:rPr>
          <w:rFonts w:ascii="Arial" w:hAnsi="Arial" w:cs="Arial"/>
          <w:color w:val="000000"/>
        </w:rPr>
      </w:pPr>
      <w:r w:rsidRPr="00924C57">
        <w:rPr>
          <w:rFonts w:ascii="Arial" w:hAnsi="Arial" w:cs="Arial"/>
          <w:color w:val="000000"/>
        </w:rPr>
        <w:t>(kivonat)</w:t>
      </w:r>
    </w:p>
    <w:p w:rsidR="00F86A16" w:rsidRPr="00924C57" w:rsidRDefault="00F86A16" w:rsidP="00F86A16">
      <w:pPr>
        <w:spacing w:before="100" w:beforeAutospacing="1" w:after="60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DKV Debreceni Közlekedési Zrt. jogelődjein keresztül 1884 óta, több mint 140 éve biztosítja Debrecen város közösségi közlekedését. Szolgáltatásainkat villamosokkal, trolibuszokkal, autóbuszokkal, E buszokkal végezzük, a lakosság elvárásainak megfelelően. Emellett társaságunk felelős a járművek, a villamospályák, az áramellátási és felsővezeték-hálózat fenntartásáért, karbantartásáért, fejlesztéséért.</w:t>
      </w:r>
    </w:p>
    <w:p w:rsidR="00F86A16" w:rsidRPr="00924C57" w:rsidRDefault="00F86A16" w:rsidP="00F86A16">
      <w:pPr>
        <w:spacing w:before="120" w:after="60"/>
        <w:jc w:val="both"/>
        <w:rPr>
          <w:rFonts w:ascii="Arial" w:hAnsi="Arial" w:cs="Arial"/>
          <w:b/>
          <w:bCs/>
          <w:sz w:val="22"/>
          <w:szCs w:val="25"/>
          <w:u w:val="single"/>
        </w:rPr>
      </w:pPr>
      <w:r w:rsidRPr="00924C57">
        <w:rPr>
          <w:rFonts w:ascii="Arial" w:hAnsi="Arial" w:cs="Arial"/>
          <w:b/>
          <w:bCs/>
          <w:sz w:val="22"/>
          <w:szCs w:val="25"/>
          <w:u w:val="single"/>
        </w:rPr>
        <w:t>Integrált Irányítási Rendszerünk elemei</w:t>
      </w:r>
    </w:p>
    <w:p w:rsidR="00F86A16" w:rsidRPr="00924C57" w:rsidRDefault="00F86A16" w:rsidP="00F86A16">
      <w:pPr>
        <w:spacing w:before="60" w:after="60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A DKV Zrt. elkötelezett az alábbi szabványok és jogszabályok szerinti rendszerek működtetése és folyamatos fejlesztése mellett:</w:t>
      </w:r>
    </w:p>
    <w:p w:rsidR="00F86A16" w:rsidRPr="00924C57" w:rsidRDefault="00F86A16" w:rsidP="00F86A16">
      <w:pPr>
        <w:numPr>
          <w:ilvl w:val="0"/>
          <w:numId w:val="4"/>
        </w:numPr>
        <w:spacing w:before="60" w:after="100" w:afterAutospacing="1"/>
        <w:ind w:left="714" w:hanging="357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ISO 9001 (Minőségirányítási rendszer)</w:t>
      </w:r>
    </w:p>
    <w:p w:rsidR="00F86A16" w:rsidRPr="00924C57" w:rsidRDefault="00F86A16" w:rsidP="00F86A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ISO 14001 (Környezetközpontú Irányítási rendszer)</w:t>
      </w:r>
    </w:p>
    <w:p w:rsidR="00F86A16" w:rsidRPr="00924C57" w:rsidRDefault="00F86A16" w:rsidP="00F86A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ISO 50001 (Energiagazdálkodási Irányítási rendszer)</w:t>
      </w:r>
    </w:p>
    <w:p w:rsidR="00F86A16" w:rsidRPr="00924C57" w:rsidRDefault="00F86A16" w:rsidP="00F86A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Vasútbiztonság-irányítási rendszer a 414/2020. (VIII. 30.) Korm. rendelet 1. melléklete alapján.</w:t>
      </w:r>
    </w:p>
    <w:p w:rsidR="00F86A16" w:rsidRPr="00924C57" w:rsidRDefault="00F86A16" w:rsidP="00F86A16">
      <w:pPr>
        <w:numPr>
          <w:ilvl w:val="0"/>
          <w:numId w:val="4"/>
        </w:numPr>
        <w:spacing w:before="100" w:beforeAutospacing="1" w:after="60"/>
        <w:ind w:left="714" w:hanging="357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Karbantartási rendszer saját tulajdonú vasúti járművekre a 44/2020. (XI.19.) ITM rendelet 2. melléklete alapján</w:t>
      </w:r>
    </w:p>
    <w:p w:rsidR="00F86A16" w:rsidRPr="00924C57" w:rsidRDefault="00F86A16" w:rsidP="00F86A16">
      <w:pPr>
        <w:spacing w:before="60" w:after="120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Ezeket a rendszereket integrált módon működtetjük, működésüket nemzetközileg elismert tanúsító szervezet és közlekedési hatóságok felügyelik.</w:t>
      </w:r>
    </w:p>
    <w:p w:rsidR="00F86A16" w:rsidRPr="00924C57" w:rsidRDefault="00F86A16" w:rsidP="00F86A16">
      <w:pPr>
        <w:spacing w:before="120" w:after="60"/>
        <w:jc w:val="both"/>
        <w:rPr>
          <w:rFonts w:ascii="Arial" w:hAnsi="Arial" w:cs="Arial"/>
          <w:b/>
          <w:bCs/>
          <w:sz w:val="22"/>
          <w:szCs w:val="25"/>
          <w:u w:val="single"/>
        </w:rPr>
      </w:pPr>
      <w:r w:rsidRPr="00924C57">
        <w:rPr>
          <w:rFonts w:ascii="Arial" w:hAnsi="Arial" w:cs="Arial"/>
          <w:b/>
          <w:bCs/>
          <w:sz w:val="22"/>
          <w:szCs w:val="25"/>
          <w:u w:val="single"/>
        </w:rPr>
        <w:t>Partneri együttműködés és külső szolgáltatók szerepe</w:t>
      </w:r>
    </w:p>
    <w:p w:rsidR="00F86A16" w:rsidRPr="00924C57" w:rsidRDefault="00F86A16" w:rsidP="00F86A16">
      <w:pPr>
        <w:spacing w:before="60" w:after="120"/>
        <w:jc w:val="both"/>
        <w:rPr>
          <w:rFonts w:ascii="Arial" w:hAnsi="Arial" w:cs="Arial"/>
          <w:bCs/>
          <w:sz w:val="22"/>
          <w:szCs w:val="25"/>
        </w:rPr>
      </w:pPr>
      <w:r w:rsidRPr="00924C57">
        <w:rPr>
          <w:rFonts w:ascii="Arial" w:hAnsi="Arial" w:cs="Arial"/>
          <w:bCs/>
          <w:sz w:val="22"/>
          <w:szCs w:val="25"/>
        </w:rPr>
        <w:t>Az autóbuszos közlekedés műszaki támogatását megbízható külső partnerek bevonásával biztosítjuk. A beszállítók részt vesznek: az autóbuszok bérbeadásában és visszavételében, az üzemanyaggal való ellátásban, az autóbuszok karbantartásában, javításában és tisztán tartásában.</w:t>
      </w:r>
    </w:p>
    <w:p w:rsidR="00F86A16" w:rsidRPr="00924C57" w:rsidRDefault="00F86A16" w:rsidP="00F86A16">
      <w:pPr>
        <w:spacing w:before="120" w:after="60"/>
        <w:jc w:val="both"/>
        <w:outlineLvl w:val="2"/>
        <w:rPr>
          <w:rFonts w:ascii="Arial" w:hAnsi="Arial" w:cs="Arial"/>
          <w:b/>
          <w:bCs/>
          <w:sz w:val="22"/>
          <w:szCs w:val="25"/>
          <w:u w:val="single"/>
        </w:rPr>
      </w:pPr>
      <w:r w:rsidRPr="00924C57">
        <w:rPr>
          <w:rFonts w:ascii="Arial" w:hAnsi="Arial" w:cs="Arial"/>
          <w:b/>
          <w:bCs/>
          <w:sz w:val="22"/>
          <w:szCs w:val="25"/>
          <w:u w:val="single"/>
        </w:rPr>
        <w:t>Alapelvek és Elkötelezettség</w:t>
      </w:r>
    </w:p>
    <w:p w:rsidR="00F86A16" w:rsidRPr="00924C57" w:rsidRDefault="00F86A16" w:rsidP="00F86A16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b/>
          <w:bCs/>
          <w:sz w:val="22"/>
          <w:szCs w:val="25"/>
        </w:rPr>
        <w:t>Minőségirányítás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szolgáltatásaink folyamatos javítását és az ügyfelek elvárásainak teljesítését biztosítjuk.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Dokumentált folyamatokkal garantáljuk a szolgáltatások megbízhatóságát és hatékonyságát.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Rendszeresen mérjük és értékeljük az ügyfél-elégedettséget.</w:t>
      </w:r>
    </w:p>
    <w:p w:rsidR="00F86A16" w:rsidRPr="00924C57" w:rsidRDefault="00F86A16" w:rsidP="00F86A16">
      <w:pPr>
        <w:numPr>
          <w:ilvl w:val="1"/>
          <w:numId w:val="1"/>
        </w:numPr>
        <w:spacing w:after="180"/>
        <w:ind w:left="143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visszajelzések alapján szolgáltatásainkat következetesen fejlesztjük.</w:t>
      </w:r>
    </w:p>
    <w:p w:rsidR="00F86A16" w:rsidRPr="00924C57" w:rsidRDefault="00F86A16" w:rsidP="00F86A16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b/>
          <w:bCs/>
          <w:sz w:val="22"/>
          <w:szCs w:val="25"/>
        </w:rPr>
        <w:t>Környezetvédelem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Célunk a környezeti hatások minimalizálása, a fenntartható erőforrás-használat és a környezetszennyezések megelőzése.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Mérsékeljük a káros kibocsátásokat, megelőzzük a környezetszennyezést.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Kiemelt figyelmet fordítunk az energiahatékonyságra, a hulladékgazdálkodásra és a zöld technológiák alkalmazására.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Fenntartható, környezet- és energiatudatos megoldásokat alkalmazunk.</w:t>
      </w:r>
    </w:p>
    <w:p w:rsidR="00F86A16" w:rsidRPr="00924C57" w:rsidRDefault="00F86A16" w:rsidP="00F86A16">
      <w:pPr>
        <w:numPr>
          <w:ilvl w:val="1"/>
          <w:numId w:val="1"/>
        </w:numPr>
        <w:spacing w:after="180"/>
        <w:ind w:left="143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Rendszeresen felülvizsgáljuk környezeti céljainkat a folyamatos javítás érdekében.</w:t>
      </w:r>
    </w:p>
    <w:p w:rsidR="00F86A16" w:rsidRPr="00924C57" w:rsidRDefault="00F86A16" w:rsidP="00F86A16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b/>
          <w:bCs/>
          <w:sz w:val="22"/>
          <w:szCs w:val="25"/>
        </w:rPr>
        <w:t>Energiagazdálkodás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Az energiahatékonyság növelése és az energiafelhasználás optimalizálása stratégiai célunk.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Energiagazdálkodási célokat állítunk fel, és teljesítményüket rendszeresen figyelemmel kísérjük.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Támogatjuk az energiahatékony technológiák és termékek beszerzését.</w:t>
      </w:r>
    </w:p>
    <w:p w:rsidR="00F86A16" w:rsidRPr="00924C57" w:rsidRDefault="00F86A16" w:rsidP="00F86A16">
      <w:pPr>
        <w:numPr>
          <w:ilvl w:val="1"/>
          <w:numId w:val="1"/>
        </w:numPr>
        <w:spacing w:after="60"/>
        <w:ind w:left="143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lastRenderedPageBreak/>
        <w:t>Az energiagazdálkodás fejlesztésére vonatkozó terveket, célokat és mutatókat dolgozunk ki, melyeket munkatársaink és partnereink bevonásával valósítunk meg.</w:t>
      </w:r>
    </w:p>
    <w:p w:rsidR="00F86A16" w:rsidRPr="00924C57" w:rsidRDefault="00F86A16" w:rsidP="00F86A16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b/>
          <w:bCs/>
          <w:sz w:val="22"/>
          <w:szCs w:val="25"/>
        </w:rPr>
        <w:t>Vasútbiztonsági és vasúti járművek karbantartási rendszer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jogszabályok határozzák meg a közlekedésbiztonság keretrendszerét, valamint a vasúti járművek üzemeltetésére és karbantartására vonatkozó követelményeket.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rendeletek szerinti működés során a biztonsági kockázatok azonosítása, értékelése és kezelése kiemelt prioritást kap.</w:t>
      </w:r>
    </w:p>
    <w:p w:rsidR="00F86A16" w:rsidRPr="00924C57" w:rsidRDefault="00F86A16" w:rsidP="00F86A1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 xml:space="preserve">Társaságunk elkötelezett a vasúti közlekedés biztonságának megőrzése mellett, ezért rendszeresen felülvizsgálja, fejleszti eljárásait, hogy azok megfeleljenek a hatályos jogszabályoknak és a közlekedési hatóság elvárásainak. </w:t>
      </w:r>
    </w:p>
    <w:p w:rsidR="00F86A16" w:rsidRPr="00924C57" w:rsidRDefault="00F86A16" w:rsidP="00F86A16">
      <w:pPr>
        <w:numPr>
          <w:ilvl w:val="1"/>
          <w:numId w:val="1"/>
        </w:numPr>
        <w:spacing w:after="60"/>
        <w:ind w:left="143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vasúti balesetek, elsősorban a személyi sérüléssel járó vasúti balesetek megelőzése, a szolgáltatás biztonságának fenntartása, valamint a vasúti járművek és infrastruktúra épségének biztosítása.</w:t>
      </w:r>
    </w:p>
    <w:p w:rsidR="00F86A16" w:rsidRPr="00924C57" w:rsidRDefault="00F86A16" w:rsidP="00F86A16">
      <w:pPr>
        <w:numPr>
          <w:ilvl w:val="0"/>
          <w:numId w:val="1"/>
        </w:numPr>
        <w:spacing w:before="60"/>
        <w:ind w:left="71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b/>
          <w:bCs/>
          <w:sz w:val="22"/>
          <w:szCs w:val="25"/>
        </w:rPr>
        <w:t>Jogszabályi és Szabványi Megfelelés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Minden tevékenységünk összhangban van a vonatkozó törvényekkel, ágazati előírásokkal, szabványokkal és szakmai előírásokkal.</w:t>
      </w:r>
    </w:p>
    <w:p w:rsidR="00F86A16" w:rsidRPr="00924C57" w:rsidRDefault="00F86A16" w:rsidP="00F86A16">
      <w:pPr>
        <w:numPr>
          <w:ilvl w:val="1"/>
          <w:numId w:val="1"/>
        </w:numPr>
        <w:spacing w:after="100" w:afterAutospacing="1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Rendszeres belső ellenőrzéseket és külső auditokat végzünk a megfelelőség biztosítása érdekében.</w:t>
      </w:r>
    </w:p>
    <w:p w:rsidR="00F86A16" w:rsidRPr="00924C57" w:rsidRDefault="00F86A16" w:rsidP="00F86A16">
      <w:pPr>
        <w:numPr>
          <w:ilvl w:val="1"/>
          <w:numId w:val="1"/>
        </w:numPr>
        <w:spacing w:after="60"/>
        <w:ind w:left="1434" w:hanging="35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nemmegfelelőségeket és azok okait feltárjuk, helyesbítő intézkedéseket alkalmazunk, és folyamatosan törekszünk működésünk fejlesztésére.</w:t>
      </w:r>
    </w:p>
    <w:p w:rsidR="00F86A16" w:rsidRPr="00924C57" w:rsidRDefault="00F86A16" w:rsidP="00F86A16">
      <w:pPr>
        <w:spacing w:before="120" w:after="60"/>
        <w:jc w:val="both"/>
        <w:outlineLvl w:val="2"/>
        <w:rPr>
          <w:rFonts w:ascii="Arial" w:hAnsi="Arial" w:cs="Arial"/>
          <w:b/>
          <w:bCs/>
          <w:sz w:val="22"/>
          <w:szCs w:val="25"/>
          <w:u w:val="single"/>
        </w:rPr>
      </w:pPr>
      <w:r w:rsidRPr="00924C57">
        <w:rPr>
          <w:rFonts w:ascii="Arial" w:hAnsi="Arial" w:cs="Arial"/>
          <w:b/>
          <w:bCs/>
          <w:sz w:val="22"/>
          <w:szCs w:val="25"/>
          <w:u w:val="single"/>
        </w:rPr>
        <w:t>Felelős vezetés és Folyamatos fejlesztés</w:t>
      </w:r>
    </w:p>
    <w:p w:rsidR="00F86A16" w:rsidRPr="00924C57" w:rsidRDefault="00F86A16" w:rsidP="00F86A16">
      <w:pPr>
        <w:numPr>
          <w:ilvl w:val="0"/>
          <w:numId w:val="2"/>
        </w:numPr>
        <w:tabs>
          <w:tab w:val="num" w:pos="1231"/>
        </w:tabs>
        <w:spacing w:after="100" w:afterAutospacing="1"/>
        <w:ind w:left="1231" w:hanging="56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Vezetőink elkötelezettek az integrált irányítási rendszer hatékony működtetése mellett.</w:t>
      </w:r>
    </w:p>
    <w:p w:rsidR="00F86A16" w:rsidRPr="00924C57" w:rsidRDefault="00F86A16" w:rsidP="00F86A16">
      <w:pPr>
        <w:numPr>
          <w:ilvl w:val="0"/>
          <w:numId w:val="2"/>
        </w:numPr>
        <w:tabs>
          <w:tab w:val="num" w:pos="1231"/>
        </w:tabs>
        <w:spacing w:after="100" w:afterAutospacing="1"/>
        <w:ind w:left="1231" w:hanging="56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Rendszeresen értékeljük a kockázatokat és lehetőségeket, valamint dokumentáltan kezeljük a változásokat.</w:t>
      </w:r>
    </w:p>
    <w:p w:rsidR="00F86A16" w:rsidRPr="00924C57" w:rsidRDefault="00F86A16" w:rsidP="00F86A16">
      <w:pPr>
        <w:numPr>
          <w:ilvl w:val="0"/>
          <w:numId w:val="2"/>
        </w:numPr>
        <w:tabs>
          <w:tab w:val="num" w:pos="1231"/>
        </w:tabs>
        <w:spacing w:after="60"/>
        <w:ind w:left="1230" w:hanging="56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munkatársak, beszállítók és érdekelt felek bevonásával biztosítjuk a közös célok megvalósítását.</w:t>
      </w:r>
    </w:p>
    <w:p w:rsidR="00F86A16" w:rsidRPr="00924C57" w:rsidRDefault="00F86A16" w:rsidP="00F86A16">
      <w:pPr>
        <w:spacing w:before="120" w:after="60"/>
        <w:jc w:val="both"/>
        <w:outlineLvl w:val="2"/>
        <w:rPr>
          <w:rFonts w:ascii="Arial" w:hAnsi="Arial" w:cs="Arial"/>
          <w:b/>
          <w:bCs/>
          <w:sz w:val="22"/>
          <w:szCs w:val="25"/>
          <w:u w:val="single"/>
        </w:rPr>
      </w:pPr>
      <w:r w:rsidRPr="00924C57">
        <w:rPr>
          <w:rFonts w:ascii="Arial" w:hAnsi="Arial" w:cs="Arial"/>
          <w:b/>
          <w:bCs/>
          <w:sz w:val="22"/>
          <w:szCs w:val="25"/>
          <w:u w:val="single"/>
        </w:rPr>
        <w:t>Kommunikáció és Együttműködés</w:t>
      </w:r>
    </w:p>
    <w:p w:rsidR="00F86A16" w:rsidRPr="00924C57" w:rsidRDefault="00F86A16" w:rsidP="00F86A16">
      <w:pPr>
        <w:numPr>
          <w:ilvl w:val="0"/>
          <w:numId w:val="3"/>
        </w:numPr>
        <w:tabs>
          <w:tab w:val="num" w:pos="1231"/>
        </w:tabs>
        <w:spacing w:after="100" w:afterAutospacing="1"/>
        <w:ind w:left="1231" w:hanging="56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Az érdekelt felekkel nyílt és átlátható kapcsolatot tartunk fenn.</w:t>
      </w:r>
    </w:p>
    <w:p w:rsidR="00F86A16" w:rsidRPr="00924C57" w:rsidRDefault="00F86A16" w:rsidP="00F86A16">
      <w:pPr>
        <w:numPr>
          <w:ilvl w:val="0"/>
          <w:numId w:val="3"/>
        </w:numPr>
        <w:tabs>
          <w:tab w:val="num" w:pos="1231"/>
        </w:tabs>
        <w:spacing w:after="60"/>
        <w:ind w:left="1230" w:hanging="567"/>
        <w:jc w:val="both"/>
        <w:rPr>
          <w:rFonts w:ascii="Arial" w:hAnsi="Arial" w:cs="Arial"/>
          <w:sz w:val="22"/>
          <w:szCs w:val="25"/>
        </w:rPr>
      </w:pPr>
      <w:r w:rsidRPr="00924C57">
        <w:rPr>
          <w:rFonts w:ascii="Arial" w:hAnsi="Arial" w:cs="Arial"/>
          <w:sz w:val="22"/>
          <w:szCs w:val="25"/>
        </w:rPr>
        <w:t>A minőség-, környezet-, energia-, vasúti biztonsági és vasúti járművek karbantartási politikát minden résztvevő számára elérhetővé tesszük.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4"/>
        <w:gridCol w:w="4047"/>
        <w:gridCol w:w="271"/>
        <w:tblGridChange w:id="0">
          <w:tblGrid>
            <w:gridCol w:w="4754"/>
            <w:gridCol w:w="4047"/>
            <w:gridCol w:w="271"/>
          </w:tblGrid>
        </w:tblGridChange>
      </w:tblGrid>
      <w:tr w:rsidR="00F86A16" w:rsidRPr="00924C57" w:rsidTr="00924C57">
        <w:trPr>
          <w:trHeight w:val="567"/>
          <w:jc w:val="center"/>
        </w:trPr>
        <w:tc>
          <w:tcPr>
            <w:tcW w:w="9411" w:type="dxa"/>
            <w:gridSpan w:val="3"/>
            <w:tcMar>
              <w:top w:w="0" w:type="dxa"/>
              <w:left w:w="170" w:type="dxa"/>
              <w:bottom w:w="113" w:type="dxa"/>
              <w:right w:w="170" w:type="dxa"/>
            </w:tcMar>
            <w:vAlign w:val="center"/>
          </w:tcPr>
          <w:p w:rsidR="00F86A16" w:rsidRPr="00924C57" w:rsidRDefault="00F86A16" w:rsidP="00924C57">
            <w:pPr>
              <w:overflowPunct w:val="0"/>
              <w:autoSpaceDE w:val="0"/>
              <w:autoSpaceDN w:val="0"/>
              <w:adjustRightInd w:val="0"/>
              <w:spacing w:before="120" w:after="120"/>
              <w:ind w:right="1985"/>
              <w:jc w:val="center"/>
              <w:textAlignment w:val="baseline"/>
              <w:rPr>
                <w:rFonts w:ascii="Arial" w:hAnsi="Arial" w:cs="Arial"/>
                <w:szCs w:val="22"/>
              </w:rPr>
            </w:pPr>
            <w:r w:rsidRPr="00924C57">
              <w:rPr>
                <w:rFonts w:ascii="Arial" w:hAnsi="Arial" w:cs="Arial"/>
                <w:b/>
                <w:szCs w:val="20"/>
              </w:rPr>
              <w:t>KÖZÖSSÉGI KÖZLEKEDÉSSEL A ZÖLD KÖRNYEZETÉRT!</w:t>
            </w:r>
          </w:p>
        </w:tc>
      </w:tr>
      <w:tr w:rsidR="00F86A16" w:rsidRPr="00924C57" w:rsidTr="00924C57">
        <w:trPr>
          <w:gridAfter w:val="1"/>
          <w:wAfter w:w="340" w:type="dxa"/>
          <w:trHeight w:val="80"/>
          <w:jc w:val="center"/>
        </w:trPr>
        <w:tc>
          <w:tcPr>
            <w:tcW w:w="5186" w:type="dxa"/>
            <w:tcMar>
              <w:top w:w="0" w:type="dxa"/>
              <w:left w:w="170" w:type="dxa"/>
              <w:bottom w:w="113" w:type="dxa"/>
              <w:right w:w="170" w:type="dxa"/>
            </w:tcMar>
          </w:tcPr>
          <w:p w:rsidR="00F86A16" w:rsidRPr="00924C57" w:rsidRDefault="00F86A16" w:rsidP="00924C57">
            <w:pPr>
              <w:tabs>
                <w:tab w:val="left" w:pos="19586"/>
              </w:tabs>
              <w:ind w:left="567" w:right="1017"/>
              <w:rPr>
                <w:rFonts w:ascii="Arial" w:hAnsi="Arial" w:cs="Arial"/>
                <w:sz w:val="22"/>
                <w:szCs w:val="25"/>
              </w:rPr>
            </w:pPr>
            <w:r w:rsidRPr="00924C57">
              <w:rPr>
                <w:rFonts w:ascii="Arial" w:hAnsi="Arial" w:cs="Arial"/>
                <w:sz w:val="22"/>
                <w:szCs w:val="25"/>
              </w:rPr>
              <w:t>Debrecen, 2025.04.02.</w:t>
            </w:r>
          </w:p>
        </w:tc>
        <w:tc>
          <w:tcPr>
            <w:tcW w:w="4225" w:type="dxa"/>
            <w:vAlign w:val="bottom"/>
          </w:tcPr>
          <w:p w:rsidR="00F86A16" w:rsidRPr="00924C57" w:rsidRDefault="00F86A16" w:rsidP="00924C57">
            <w:pPr>
              <w:tabs>
                <w:tab w:val="left" w:pos="19586"/>
              </w:tabs>
              <w:ind w:left="1876"/>
              <w:jc w:val="center"/>
              <w:rPr>
                <w:rFonts w:ascii="Arial" w:hAnsi="Arial" w:cs="Arial"/>
                <w:sz w:val="22"/>
                <w:szCs w:val="25"/>
              </w:rPr>
            </w:pPr>
            <w:r w:rsidRPr="00924C57">
              <w:rPr>
                <w:rFonts w:ascii="Arial" w:hAnsi="Arial" w:cs="Arial"/>
                <w:sz w:val="22"/>
                <w:szCs w:val="25"/>
              </w:rPr>
              <w:t>Dr. Tóth Szabolcs</w:t>
            </w:r>
            <w:r>
              <w:rPr>
                <w:rFonts w:ascii="Arial" w:hAnsi="Arial" w:cs="Arial"/>
                <w:sz w:val="22"/>
                <w:szCs w:val="25"/>
              </w:rPr>
              <w:br/>
            </w:r>
            <w:r w:rsidRPr="00924C57">
              <w:rPr>
                <w:rFonts w:ascii="Arial" w:hAnsi="Arial" w:cs="Arial"/>
                <w:sz w:val="22"/>
                <w:szCs w:val="25"/>
              </w:rPr>
              <w:t>vezérigazgató</w:t>
            </w:r>
          </w:p>
        </w:tc>
      </w:tr>
    </w:tbl>
    <w:p w:rsidR="001E7088" w:rsidRDefault="001E7088">
      <w:bookmarkStart w:id="1" w:name="_GoBack"/>
      <w:bookmarkEnd w:id="1"/>
    </w:p>
    <w:sectPr w:rsidR="001E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4FE"/>
    <w:multiLevelType w:val="multilevel"/>
    <w:tmpl w:val="166A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A417D"/>
    <w:multiLevelType w:val="hybridMultilevel"/>
    <w:tmpl w:val="606689B4"/>
    <w:lvl w:ilvl="0" w:tplc="0DD29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C532C"/>
    <w:multiLevelType w:val="multilevel"/>
    <w:tmpl w:val="264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0676C"/>
    <w:multiLevelType w:val="multilevel"/>
    <w:tmpl w:val="D9E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16"/>
    <w:rsid w:val="001E7088"/>
    <w:rsid w:val="004F5CF9"/>
    <w:rsid w:val="00A956C8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0A79D-5C2B-4799-8FE2-5D21B0E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86A16"/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László</dc:creator>
  <cp:keywords/>
  <dc:description/>
  <cp:lastModifiedBy>Harsányi László</cp:lastModifiedBy>
  <cp:revision>1</cp:revision>
  <dcterms:created xsi:type="dcterms:W3CDTF">2025-10-31T08:53:00Z</dcterms:created>
  <dcterms:modified xsi:type="dcterms:W3CDTF">2025-10-31T08:54:00Z</dcterms:modified>
</cp:coreProperties>
</file>